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1037"/>
        <w:gridCol w:w="1179"/>
        <w:gridCol w:w="61"/>
        <w:gridCol w:w="730"/>
        <w:gridCol w:w="249"/>
        <w:gridCol w:w="600"/>
        <w:gridCol w:w="226"/>
        <w:gridCol w:w="760"/>
        <w:gridCol w:w="2538"/>
      </w:tblGrid>
      <w:tr w:rsidR="00BE6A64" w:rsidRPr="003631A0" w:rsidTr="00363279">
        <w:tc>
          <w:tcPr>
            <w:tcW w:w="5211" w:type="dxa"/>
            <w:gridSpan w:val="4"/>
            <w:shd w:val="clear" w:color="auto" w:fill="BFBFBF" w:themeFill="background1" w:themeFillShade="BF"/>
          </w:tcPr>
          <w:p w:rsidR="00BE6A64" w:rsidRPr="003631A0" w:rsidRDefault="00BE6A64" w:rsidP="0036327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363279">
              <w:rPr>
                <w:b w:val="0"/>
                <w:sz w:val="22"/>
                <w:szCs w:val="22"/>
              </w:rPr>
              <w:t>MİKROBİYOLOJİ PARAZİTOLOJİ</w:t>
            </w:r>
          </w:p>
        </w:tc>
        <w:tc>
          <w:tcPr>
            <w:tcW w:w="5103" w:type="dxa"/>
            <w:gridSpan w:val="6"/>
            <w:shd w:val="clear" w:color="auto" w:fill="BFBFBF" w:themeFill="background1" w:themeFillShade="BF"/>
          </w:tcPr>
          <w:p w:rsidR="00BE6A64" w:rsidRPr="003631A0" w:rsidRDefault="00BE6A64" w:rsidP="003632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045B84">
              <w:rPr>
                <w:b w:val="0"/>
                <w:sz w:val="22"/>
                <w:szCs w:val="22"/>
              </w:rPr>
              <w:t>1</w:t>
            </w:r>
            <w:r w:rsidR="00363279">
              <w:rPr>
                <w:b w:val="0"/>
                <w:sz w:val="22"/>
                <w:szCs w:val="22"/>
              </w:rPr>
              <w:t>115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1.Sınıf/Güz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BE6A64">
            <w:pPr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14 hafta haftada 2 saat teorik</w:t>
            </w:r>
          </w:p>
        </w:tc>
      </w:tr>
      <w:tr w:rsidR="00363279" w:rsidRPr="003631A0" w:rsidTr="00363279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277" w:type="dxa"/>
            <w:gridSpan w:val="3"/>
          </w:tcPr>
          <w:p w:rsidR="00BE6A64" w:rsidRPr="003631A0" w:rsidRDefault="00045B8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05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3298" w:type="dxa"/>
            <w:gridSpan w:val="2"/>
          </w:tcPr>
          <w:p w:rsidR="00BE6A64" w:rsidRPr="003631A0" w:rsidRDefault="00363279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9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 xml:space="preserve">Bu dersin amacı; hemşirelik öğrencisine, </w:t>
            </w:r>
            <w:proofErr w:type="gramStart"/>
            <w:r w:rsidRPr="00363279">
              <w:rPr>
                <w:b w:val="0"/>
                <w:sz w:val="22"/>
                <w:szCs w:val="22"/>
              </w:rPr>
              <w:t>enfeksiyon</w:t>
            </w:r>
            <w:proofErr w:type="gramEnd"/>
            <w:r w:rsidRPr="00363279">
              <w:rPr>
                <w:b w:val="0"/>
                <w:sz w:val="22"/>
                <w:szCs w:val="22"/>
              </w:rPr>
              <w:t xml:space="preserve"> etkeni mikroorganizmalar ve bunların yol açtığı hastalıklar konusunda, mesleklerini icra etmelerine yardımcı olacak temel bir nosyon kazandırmaktır. 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>Bu ders; temel tıbbi mikrobiyoloji, bakteriyoloji, viroloji, parazitoloji, mikoloji, doğal ve edinilmiş bağışıklık ile mikrobiyolojik tanı süreçlerine ilişkin konuları kapsar.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BE6A6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 xml:space="preserve">Bu dersi alan öğrenci; 1. Mikroorganizmaların yapıları, sınıflandırılmaları ve genel özellikleri hakkında bilgi sahibi olur. 2. Bakteriler, mantarlar,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viruslar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 ve parazitlerin neden olduğu önemli </w:t>
            </w:r>
            <w:proofErr w:type="gramStart"/>
            <w:r w:rsidRPr="00363279">
              <w:rPr>
                <w:b w:val="0"/>
                <w:sz w:val="22"/>
                <w:szCs w:val="22"/>
              </w:rPr>
              <w:t>enfeksiyon</w:t>
            </w:r>
            <w:proofErr w:type="gramEnd"/>
            <w:r w:rsidRPr="00363279">
              <w:rPr>
                <w:b w:val="0"/>
                <w:sz w:val="22"/>
                <w:szCs w:val="22"/>
              </w:rPr>
              <w:t xml:space="preserve"> hastalıkları hakkında bilgi sahibi olur. 3. Hemşirelik pratiğinde maruz kalacağı </w:t>
            </w:r>
            <w:proofErr w:type="gramStart"/>
            <w:r w:rsidRPr="00363279">
              <w:rPr>
                <w:b w:val="0"/>
                <w:sz w:val="22"/>
                <w:szCs w:val="22"/>
              </w:rPr>
              <w:t>enfeksiyon</w:t>
            </w:r>
            <w:proofErr w:type="gramEnd"/>
            <w:r w:rsidRPr="00363279">
              <w:rPr>
                <w:b w:val="0"/>
                <w:sz w:val="22"/>
                <w:szCs w:val="22"/>
              </w:rPr>
              <w:t xml:space="preserve"> etkenleri ve bulaşma yolları hakkında bilgi sahibi olur. 4. Öğrenilen bilgilerin bir kısmını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laboratuvarda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 uygulayabilir.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9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9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bCs/>
                <w:i/>
                <w:sz w:val="22"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Mikroorganizmaların temel kimyasal yapıları, atom, molekül, kimyasal bağlar, başlıca </w:t>
            </w:r>
            <w:proofErr w:type="spellStart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>makromoleküller</w:t>
            </w:r>
            <w:proofErr w:type="spellEnd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ve fonksiyonları, Canlılar evreninin sınıflandırılması. </w:t>
            </w:r>
            <w:proofErr w:type="spellStart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>Prokaryot</w:t>
            </w:r>
            <w:proofErr w:type="spellEnd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ve </w:t>
            </w:r>
            <w:proofErr w:type="spellStart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>ökaryot</w:t>
            </w:r>
            <w:proofErr w:type="spellEnd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mikroorganizmaların genel yapı özellikleri. Bakteri hücresinin anatomik yapısı (</w:t>
            </w:r>
            <w:proofErr w:type="spellStart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>Flagella</w:t>
            </w:r>
            <w:proofErr w:type="spellEnd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, kapsül, hücre duvarı, spor, </w:t>
            </w:r>
            <w:proofErr w:type="gramStart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>sitoplazma</w:t>
            </w:r>
            <w:proofErr w:type="gramEnd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>stoplazmik</w:t>
            </w:r>
            <w:proofErr w:type="spellEnd"/>
            <w:r w:rsidRPr="0036327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zar v.d.), Bakteri genetiği.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>Bakterilerde beslenme, metabolizma, üreme, üreme dönemleri ve üretilme ortamları, Mikroorganizmaların in-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vitro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üreme şekilleri, Mikroorganizmalar üzerine dış ortamın etkisi. </w:t>
            </w:r>
            <w:proofErr w:type="gramStart"/>
            <w:r w:rsidRPr="00363279">
              <w:rPr>
                <w:b w:val="0"/>
                <w:i/>
                <w:sz w:val="22"/>
                <w:szCs w:val="22"/>
              </w:rPr>
              <w:t>Sterilizasyon, dezenfeksiyon antisepsi kavramları.</w:t>
            </w:r>
            <w:proofErr w:type="gramEnd"/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>Fiziksel etkenlerle ve gazlarla sterilizasyon, Kimyasal etkenlerle sterilizasyon ve dezenfeksiyon, Antibiyotikler, etki mekanizmalar; antibiyotiklere karşı oluşan direnç mekanizmaları.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 xml:space="preserve">Mikroorganizma - konak ilişkileri, normal flora, Enfeksiyon bulaşma yolları, mikroorganizmaların hastalık oluşturma mekanizmaları, Doğal bağışıklık, Antijen, antikor,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immunojen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hapten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adjuvan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v.b. kavramlar.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İmmün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sistem bileşenleri- moleküller/hücreler/ organlar, Edinilmiş bağışıklık (sıvısal ve hücresel), Aşılar ve serumlar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 xml:space="preserve">Gram pozitif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aerop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koklar (stafilokok, streptokok ve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entrokoklar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) ve </w:t>
            </w:r>
            <w:proofErr w:type="gramStart"/>
            <w:r w:rsidRPr="00363279">
              <w:rPr>
                <w:b w:val="0"/>
                <w:i/>
                <w:sz w:val="22"/>
                <w:szCs w:val="22"/>
              </w:rPr>
              <w:t>enfeksiyonları</w:t>
            </w:r>
            <w:proofErr w:type="gramEnd"/>
            <w:r w:rsidRPr="00363279">
              <w:rPr>
                <w:b w:val="0"/>
                <w:i/>
                <w:sz w:val="22"/>
                <w:szCs w:val="22"/>
              </w:rPr>
              <w:t xml:space="preserve">, Gram negatif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aerop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koklar (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Neisserialar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>) ve enfeksiyonları.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Enterik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gram negatif basiller ve </w:t>
            </w:r>
            <w:proofErr w:type="gramStart"/>
            <w:r w:rsidRPr="00363279">
              <w:rPr>
                <w:b w:val="0"/>
                <w:i/>
                <w:sz w:val="22"/>
                <w:szCs w:val="22"/>
              </w:rPr>
              <w:t>enfeksiyonları</w:t>
            </w:r>
            <w:proofErr w:type="gram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Nonfermenter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gram negatif basiller ve enfeksiyonları.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 xml:space="preserve">Çeşitli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aerop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gram negatif basiller ve </w:t>
            </w:r>
            <w:proofErr w:type="gramStart"/>
            <w:r w:rsidRPr="00363279">
              <w:rPr>
                <w:b w:val="0"/>
                <w:i/>
                <w:sz w:val="22"/>
                <w:szCs w:val="22"/>
              </w:rPr>
              <w:t>enfeksiyonları</w:t>
            </w:r>
            <w:proofErr w:type="gramEnd"/>
            <w:r w:rsidRPr="00363279">
              <w:rPr>
                <w:b w:val="0"/>
                <w:i/>
                <w:sz w:val="22"/>
                <w:szCs w:val="22"/>
              </w:rPr>
              <w:t xml:space="preserve"> (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Haemophylus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Brucella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Bordetella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Francisella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Yersinia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Pasteurella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Helicobacter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Campylobacter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>, HACEK grubu)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 xml:space="preserve">Gram pozitif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aerop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basiller ve </w:t>
            </w:r>
            <w:proofErr w:type="gramStart"/>
            <w:r w:rsidRPr="00363279">
              <w:rPr>
                <w:b w:val="0"/>
                <w:i/>
                <w:sz w:val="22"/>
                <w:szCs w:val="22"/>
              </w:rPr>
              <w:t>enfeksiyonları</w:t>
            </w:r>
            <w:proofErr w:type="gramEnd"/>
            <w:r w:rsidRPr="00363279">
              <w:rPr>
                <w:b w:val="0"/>
                <w:i/>
                <w:sz w:val="22"/>
                <w:szCs w:val="22"/>
              </w:rPr>
              <w:t xml:space="preserve"> (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Bacillus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Corynebacteria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Listeria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Lactobacillus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),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Anaerop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bakteriler ve enfeksiyonları.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Mikobakteriler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mikoplazma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ve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klamidyalar</w:t>
            </w:r>
            <w:proofErr w:type="spellEnd"/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 xml:space="preserve">Mantarların genel özellikleri (Mantarların yapısı, sınıflandırılmaları, üreme özellikleri, üretilmeleri,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antiviral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ilaçlar), Tıbbi önemi olan mayalar ve </w:t>
            </w:r>
            <w:proofErr w:type="gramStart"/>
            <w:r w:rsidRPr="00363279">
              <w:rPr>
                <w:b w:val="0"/>
                <w:i/>
                <w:sz w:val="22"/>
                <w:szCs w:val="22"/>
              </w:rPr>
              <w:t>enfeksiyonları</w:t>
            </w:r>
            <w:proofErr w:type="gramEnd"/>
            <w:r w:rsidRPr="00363279">
              <w:rPr>
                <w:b w:val="0"/>
                <w:i/>
                <w:sz w:val="22"/>
                <w:szCs w:val="22"/>
              </w:rPr>
              <w:t>, Tıbbi önemi olan küfler ve enfeksiyonları.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>Virüsler hakkında genel bilgi (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Virusların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yapısı, sınıflandırılmaları, üreme özellikleri, üretilmeleri,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antiviral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ilaçlar). Önemli DNA ve RNA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virusları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ve hastalıkları.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Prionlar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ve hastalıkları.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lastRenderedPageBreak/>
              <w:t>Hafta</w:t>
            </w:r>
          </w:p>
        </w:tc>
        <w:tc>
          <w:tcPr>
            <w:tcW w:w="7380" w:type="dxa"/>
            <w:gridSpan w:val="9"/>
          </w:tcPr>
          <w:p w:rsidR="00BE6A64" w:rsidRPr="00363279" w:rsidRDefault="00363279" w:rsidP="00363279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279">
              <w:rPr>
                <w:b w:val="0"/>
                <w:i/>
                <w:sz w:val="22"/>
                <w:szCs w:val="22"/>
              </w:rPr>
              <w:t xml:space="preserve">Parazitolojiye giriş(Parazitlerin yapısı, sınıflandırılmaları, üreme özellikleri, üretilmeleri,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antiparaziter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ilaçlar). Önemli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protozoonlar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ve </w:t>
            </w:r>
            <w:proofErr w:type="gramStart"/>
            <w:r w:rsidRPr="00363279">
              <w:rPr>
                <w:b w:val="0"/>
                <w:i/>
                <w:sz w:val="22"/>
                <w:szCs w:val="22"/>
              </w:rPr>
              <w:t>enfeksiyonları</w:t>
            </w:r>
            <w:proofErr w:type="gramEnd"/>
            <w:r w:rsidRPr="00363279">
              <w:rPr>
                <w:b w:val="0"/>
                <w:i/>
                <w:sz w:val="22"/>
                <w:szCs w:val="22"/>
              </w:rPr>
              <w:t xml:space="preserve">. Önemli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helmintler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 (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nematodlar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sestodlar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trematodlar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) ve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enfestasyonları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 xml:space="preserve">. Enfeksiyon hastalıklarının mikrobiyolojik tanısı.(Direkt ve boyalı inceleme, kültür, </w:t>
            </w:r>
            <w:proofErr w:type="spellStart"/>
            <w:r w:rsidRPr="00363279">
              <w:rPr>
                <w:b w:val="0"/>
                <w:i/>
                <w:sz w:val="22"/>
                <w:szCs w:val="22"/>
              </w:rPr>
              <w:t>sero</w:t>
            </w:r>
            <w:proofErr w:type="spellEnd"/>
            <w:r w:rsidRPr="00363279">
              <w:rPr>
                <w:b w:val="0"/>
                <w:i/>
                <w:sz w:val="22"/>
                <w:szCs w:val="22"/>
              </w:rPr>
              <w:t>-immünolojik testler ve moleküler incelemeler).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9"/>
          </w:tcPr>
          <w:p w:rsidR="00BE6A64" w:rsidRPr="002B55BB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253FC5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80</w:t>
            </w:r>
            <w:r w:rsidR="00BE6A64" w:rsidRPr="003631A0">
              <w:rPr>
                <w:b w:val="0"/>
                <w:i/>
                <w:sz w:val="22"/>
                <w:szCs w:val="22"/>
              </w:rPr>
              <w:t>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79" w:rsidRPr="00363279" w:rsidRDefault="00363279" w:rsidP="00045B8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 xml:space="preserve">1.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Waren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Levinson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. Tıbbi Mikrobiyoloji ve İmmünoloji/Çeviri </w:t>
            </w:r>
            <w:proofErr w:type="gramStart"/>
            <w:r w:rsidRPr="00363279">
              <w:rPr>
                <w:b w:val="0"/>
                <w:sz w:val="22"/>
                <w:szCs w:val="22"/>
              </w:rPr>
              <w:t>Editörü : Prof.</w:t>
            </w:r>
            <w:proofErr w:type="gramEnd"/>
            <w:r w:rsidRPr="00363279">
              <w:rPr>
                <w:b w:val="0"/>
                <w:sz w:val="22"/>
                <w:szCs w:val="22"/>
              </w:rPr>
              <w:t xml:space="preserve"> Dr. Tuncay ÖZGÜNEN.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Lange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Medical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Books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. 8. Baskı. </w:t>
            </w:r>
          </w:p>
          <w:p w:rsidR="00363279" w:rsidRPr="00363279" w:rsidRDefault="00363279" w:rsidP="00045B8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 xml:space="preserve">2. G. J.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Tortora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, B. R.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Funke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, C. L.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Case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Microbiology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: An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Introduction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 (10th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Edition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) Benjamin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Cummings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. 2010 </w:t>
            </w:r>
          </w:p>
          <w:p w:rsidR="00363279" w:rsidRPr="00363279" w:rsidRDefault="00363279" w:rsidP="00045B8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 xml:space="preserve">3.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Günalp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 A, Yılmaz YA, Pınar A. Tıbbi Mikrobiyoloji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Laboratuvar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 Eğitim Kitabı. Hacettepe Üniversitesi Yayınları,2003. </w:t>
            </w:r>
          </w:p>
          <w:p w:rsidR="00BE6A64" w:rsidRPr="003631A0" w:rsidRDefault="00363279" w:rsidP="00045B8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363279">
              <w:rPr>
                <w:b w:val="0"/>
                <w:sz w:val="22"/>
                <w:szCs w:val="22"/>
              </w:rPr>
              <w:t xml:space="preserve">4. Mustafa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Altındiş</w:t>
            </w:r>
            <w:proofErr w:type="spellEnd"/>
            <w:r w:rsidRPr="00363279">
              <w:rPr>
                <w:b w:val="0"/>
                <w:sz w:val="22"/>
                <w:szCs w:val="22"/>
              </w:rPr>
              <w:t xml:space="preserve"> (Editör). Hemşireler İçin Mikrobiyoloji. Nobel tıp </w:t>
            </w:r>
            <w:proofErr w:type="spellStart"/>
            <w:r w:rsidRPr="00363279">
              <w:rPr>
                <w:b w:val="0"/>
                <w:sz w:val="22"/>
                <w:szCs w:val="22"/>
              </w:rPr>
              <w:t>Kitabevi</w:t>
            </w:r>
            <w:proofErr w:type="spellEnd"/>
            <w:r w:rsidRPr="00363279">
              <w:rPr>
                <w:b w:val="0"/>
                <w:sz w:val="22"/>
                <w:szCs w:val="22"/>
              </w:rPr>
              <w:t>.2010</w:t>
            </w:r>
            <w:r w:rsidR="00253FC5" w:rsidRPr="00253FC5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E6A64" w:rsidRPr="003631A0">
              <w:rPr>
                <w:b w:val="0"/>
                <w:sz w:val="22"/>
                <w:szCs w:val="22"/>
              </w:rPr>
              <w:t>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proofErr w:type="spell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</w:t>
            </w:r>
            <w:proofErr w:type="spellEnd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Uygulama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997E76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3784"/>
    <w:rsid w:val="001350C3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D4DCB"/>
    <w:rsid w:val="007E0F7B"/>
    <w:rsid w:val="007E1921"/>
    <w:rsid w:val="007F0FE9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5E65"/>
    <w:rsid w:val="00D95F3F"/>
    <w:rsid w:val="00D97560"/>
    <w:rsid w:val="00DC1458"/>
    <w:rsid w:val="00DC1ADD"/>
    <w:rsid w:val="00DC2188"/>
    <w:rsid w:val="00DD6567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248D"/>
    <w:rsid w:val="00F23508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2015-08-06T10:06:00Z</dcterms:created>
  <dcterms:modified xsi:type="dcterms:W3CDTF">2015-08-06T10:06:00Z</dcterms:modified>
</cp:coreProperties>
</file>